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附件1</w:t>
      </w:r>
    </w:p>
    <w:p>
      <w:pPr>
        <w:pStyle w:val="7"/>
        <w:spacing w:line="576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年日照城投集团有限公司子公司</w:t>
      </w:r>
      <w:r>
        <w:rPr>
          <w:rFonts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师资储备岗位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计划</w:t>
      </w:r>
    </w:p>
    <w:tbl>
      <w:tblPr>
        <w:tblStyle w:val="5"/>
        <w:tblpPr w:leftFromText="180" w:rightFromText="180" w:vertAnchor="text" w:horzAnchor="page" w:tblpXSpec="center" w:tblpY="572"/>
        <w:tblOverlap w:val="never"/>
        <w:tblW w:w="52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654"/>
        <w:gridCol w:w="1460"/>
        <w:gridCol w:w="836"/>
        <w:gridCol w:w="1955"/>
        <w:gridCol w:w="2393"/>
        <w:gridCol w:w="2016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12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本科：临床医学类、康复治疗学、运动康复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研究生：康复医学与理疗学、运动康复、中西医结合康复医学、言语听觉康复科学、康复治疗学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、运动康复学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本科：中医学、针灸推拿学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研究生：中医学一级学科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5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6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7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本科：护理学类、体育学类、康复治疗学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研究生：护理学一级学科、运动医学、康复医学与理疗学、体育学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8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9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10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本科：护理学类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研究生：护理学一级学科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11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12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13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婴幼儿托育与管理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本科：护理学类、学前教育、妇幼保健医学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、临床医学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研究生：护理学一级学科、学前教育学、儿少卫生与妇幼保健学、儿科学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14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15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16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本科：医学检验技术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研究生：医学检验学、医学检验技术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17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18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19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本科：临床医学、口腔医学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研究生：口腔医学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20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21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22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本科：药学类、中药学类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、制药工程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药学一级学科、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23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24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25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健康大数据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管理与服务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本科：计算机类、统计学类、信息管理与信息系统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研究生：计算机科学与技术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、健康大数据与智能医学、大数据管理、统计学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26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27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28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智慧健康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养老服务与管理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本科：护理学类、康复治疗学、临床医学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研究生：护理学一级学科、临床医学一级学科、公共卫生与预防医学一级学科、康复治疗学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29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年以上高校专业教学工作或医疗、康养企业工作经历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副高级以上职称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30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31</w:t>
            </w: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思想政治教学部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40周岁及以下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（1982年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26日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以后出生）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研究生：政治学一级学科、马克思主义理论一级学科、法学一级学科、法律（专业学位）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32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高等数学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40周岁及以下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（1982年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26日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以后出生）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本科：数学类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研究生：数学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33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大学英语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40周岁及以下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（1982年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26日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以后出生）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本科：英语、商务英语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研究生：英语教育、英语语言文学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34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心理健康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40周岁及以下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（1982年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26日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以后出生）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本科：心理学类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研究生：心理学一级学科、心理教育、教育心理学、心理健康教育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35</w:t>
            </w: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大学语文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40周岁及以下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（1982年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26日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以后出生）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本科：汉语言文学、汉语言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36</w:t>
            </w: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体育部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40周岁及以下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（1982年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26日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以后出生）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本科：体育学类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研究生：体育学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37</w:t>
            </w: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基础医学部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40周岁及以下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（1982年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26日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以后出生）</w:t>
            </w:r>
            <w:bookmarkStart w:id="0" w:name="_GoBack"/>
            <w:bookmarkEnd w:id="0"/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本科：化学类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、生物科学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研究生：基础医学一级学科、化学一级学科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38</w:t>
            </w: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35周岁及以下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（19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87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年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26日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以后出生）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39</w:t>
            </w: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图书馆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图书馆管理员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（19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87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年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9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bidi="zh-CN"/>
              </w:rPr>
              <w:t>26日</w:t>
            </w:r>
            <w:r>
              <w:rPr>
                <w:rFonts w:hint="eastAsia"/>
                <w:color w:val="auto"/>
                <w:kern w:val="2"/>
                <w:sz w:val="21"/>
                <w:szCs w:val="21"/>
                <w:highlight w:val="none"/>
                <w:lang w:bidi="zh-CN"/>
              </w:rPr>
              <w:t>以后出生）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研究生：图书情报与档案管理一级学科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96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3703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84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TU2YWI3MmFlNWRhMTMwYjg0OTk1YWM2NTMzNDcifQ=="/>
  </w:docVars>
  <w:rsids>
    <w:rsidRoot w:val="4A0E0CA0"/>
    <w:rsid w:val="491B75A8"/>
    <w:rsid w:val="4A0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仿宋_GB2312"/>
      <w:sz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2023-09-18T10:02:00Z</dcterms:created>
  <dc:creator>乐乐</dc:creator>
  <cp:lastModifiedBy>乐乐</cp:lastModifiedBy>
  <dcterms:modified xsi:type="dcterms:W3CDTF">2023-09-19T10:09:51Z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41D00006B04746F69F4599A255777C81_11</vt:lpwstr>
  </property>
</Properties>
</file>